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7" w:type="dxa"/>
        <w:tblInd w:w="-113" w:type="dxa"/>
        <w:tblLayout w:type="fixed"/>
        <w:tblCellMar>
          <w:left w:w="85" w:type="dxa"/>
          <w:right w:w="85" w:type="dxa"/>
        </w:tblCellMar>
        <w:tblLook w:val="0000" w:firstRow="0" w:lastRow="0" w:firstColumn="0" w:lastColumn="0" w:noHBand="0" w:noVBand="0"/>
      </w:tblPr>
      <w:tblGrid>
        <w:gridCol w:w="4158"/>
        <w:gridCol w:w="5679"/>
      </w:tblGrid>
      <w:tr w:rsidR="00024CFB">
        <w:trPr>
          <w:cantSplit/>
          <w:trHeight w:val="869"/>
        </w:trPr>
        <w:tc>
          <w:tcPr>
            <w:tcW w:w="4158" w:type="dxa"/>
            <w:tcBorders>
              <w:top w:val="nil"/>
              <w:left w:val="nil"/>
              <w:bottom w:val="nil"/>
              <w:right w:val="nil"/>
            </w:tcBorders>
          </w:tcPr>
          <w:p w:rsidR="00024CFB" w:rsidRDefault="00556473">
            <w:pPr>
              <w:tabs>
                <w:tab w:val="left" w:pos="1223"/>
              </w:tabs>
              <w:ind w:left="-247" w:right="-265"/>
              <w:jc w:val="center"/>
              <w:rPr>
                <w:b/>
                <w:sz w:val="26"/>
                <w:szCs w:val="26"/>
              </w:rPr>
            </w:pPr>
            <w:r>
              <w:rPr>
                <w:b/>
                <w:sz w:val="26"/>
                <w:szCs w:val="26"/>
              </w:rPr>
              <w:t xml:space="preserve">ỦY BAN NHÂN DÂN </w:t>
            </w:r>
          </w:p>
          <w:p w:rsidR="00024CFB" w:rsidRDefault="00556473">
            <w:pPr>
              <w:tabs>
                <w:tab w:val="left" w:pos="1223"/>
              </w:tabs>
              <w:ind w:left="-247" w:right="-265"/>
              <w:jc w:val="center"/>
              <w:rPr>
                <w:b/>
                <w:sz w:val="26"/>
                <w:szCs w:val="26"/>
              </w:rPr>
            </w:pPr>
            <w:r>
              <w:rPr>
                <w:b/>
                <w:sz w:val="26"/>
                <w:szCs w:val="26"/>
              </w:rPr>
              <w:t>THÀNH PHỒ HỒ CHÍ MINH</w:t>
            </w:r>
          </w:p>
          <w:p w:rsidR="00024CFB" w:rsidRDefault="001518A0">
            <w:pPr>
              <w:tabs>
                <w:tab w:val="left" w:pos="1223"/>
              </w:tabs>
              <w:ind w:left="-247" w:right="-265"/>
              <w:jc w:val="center"/>
              <w:rPr>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800735</wp:posOffset>
                      </wp:positionH>
                      <wp:positionV relativeFrom="paragraph">
                        <wp:posOffset>65405</wp:posOffset>
                      </wp:positionV>
                      <wp:extent cx="953135" cy="0"/>
                      <wp:effectExtent l="10160" t="8255" r="8255" b="1079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5.15pt" to="138.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2G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"/>
                  </w:pict>
                </mc:Fallback>
              </mc:AlternateContent>
            </w:r>
          </w:p>
        </w:tc>
        <w:tc>
          <w:tcPr>
            <w:tcW w:w="5679" w:type="dxa"/>
            <w:tcBorders>
              <w:top w:val="nil"/>
              <w:left w:val="nil"/>
              <w:bottom w:val="nil"/>
              <w:right w:val="nil"/>
            </w:tcBorders>
          </w:tcPr>
          <w:p w:rsidR="00024CFB" w:rsidRDefault="00556473">
            <w:pPr>
              <w:ind w:left="-85" w:right="-85"/>
              <w:jc w:val="center"/>
              <w:rPr>
                <w:b/>
                <w:bCs/>
                <w:sz w:val="26"/>
                <w:szCs w:val="26"/>
              </w:rPr>
            </w:pPr>
            <w:r>
              <w:rPr>
                <w:b/>
                <w:bCs/>
                <w:sz w:val="26"/>
                <w:szCs w:val="26"/>
              </w:rPr>
              <w:t xml:space="preserve">CỘNG HÒA XÃ HỘI CHỦ NGHĨA VIỆT </w:t>
            </w:r>
            <w:smartTag w:uri="urn:schemas-microsoft-com:office:smarttags" w:element="place">
              <w:smartTag w:uri="urn:schemas-microsoft-com:office:smarttags" w:element="country-region">
                <w:r>
                  <w:rPr>
                    <w:b/>
                    <w:bCs/>
                    <w:sz w:val="26"/>
                    <w:szCs w:val="26"/>
                  </w:rPr>
                  <w:t>NAM</w:t>
                </w:r>
              </w:smartTag>
            </w:smartTag>
          </w:p>
          <w:p w:rsidR="00024CFB" w:rsidRDefault="00556473">
            <w:pPr>
              <w:ind w:left="-85" w:right="-85"/>
              <w:jc w:val="center"/>
              <w:rPr>
                <w:b/>
                <w:bCs/>
                <w:sz w:val="28"/>
                <w:szCs w:val="28"/>
              </w:rPr>
            </w:pPr>
            <w:r>
              <w:rPr>
                <w:b/>
                <w:bCs/>
                <w:sz w:val="28"/>
                <w:szCs w:val="28"/>
              </w:rPr>
              <w:t>Độc lập – Tự do – Hạnh phúc</w:t>
            </w:r>
          </w:p>
          <w:p w:rsidR="00024CFB" w:rsidRDefault="001518A0">
            <w:pPr>
              <w:ind w:left="-85" w:right="-85"/>
              <w:jc w:val="center"/>
              <w:rPr>
                <w:rFonts w:ascii=".VnTime" w:hAnsi=".VnTime" w:cs=".VnTimeH"/>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53975</wp:posOffset>
                      </wp:positionV>
                      <wp:extent cx="2219960" cy="0"/>
                      <wp:effectExtent l="9525" t="6350" r="8890"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25pt" to="174.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"/>
                  </w:pict>
                </mc:Fallback>
              </mc:AlternateContent>
            </w:r>
          </w:p>
        </w:tc>
      </w:tr>
      <w:tr w:rsidR="00024CFB">
        <w:trPr>
          <w:cantSplit/>
          <w:trHeight w:val="414"/>
        </w:trPr>
        <w:tc>
          <w:tcPr>
            <w:tcW w:w="4158" w:type="dxa"/>
            <w:tcBorders>
              <w:top w:val="nil"/>
              <w:left w:val="nil"/>
              <w:bottom w:val="nil"/>
              <w:right w:val="nil"/>
            </w:tcBorders>
          </w:tcPr>
          <w:p w:rsidR="00024CFB" w:rsidRDefault="00556473" w:rsidP="0032744E">
            <w:pPr>
              <w:pStyle w:val="Heading5"/>
              <w:spacing w:before="60"/>
              <w:rPr>
                <w:rFonts w:ascii="Times New Roman" w:hAnsi="Times New Roman" w:cs="Times New Roman"/>
                <w:sz w:val="26"/>
                <w:szCs w:val="26"/>
              </w:rPr>
            </w:pPr>
            <w:r>
              <w:rPr>
                <w:rFonts w:ascii="Times New Roman" w:hAnsi="Times New Roman" w:cs="Times New Roman"/>
                <w:sz w:val="26"/>
                <w:szCs w:val="26"/>
              </w:rPr>
              <w:t xml:space="preserve">Số: </w:t>
            </w:r>
            <w:r w:rsidR="0032744E">
              <w:rPr>
                <w:rFonts w:ascii="Times New Roman" w:hAnsi="Times New Roman" w:cs="Times New Roman"/>
                <w:sz w:val="26"/>
                <w:szCs w:val="26"/>
              </w:rPr>
              <w:t>2999</w:t>
            </w:r>
            <w:r>
              <w:rPr>
                <w:rFonts w:ascii="Times New Roman" w:hAnsi="Times New Roman" w:cs="Times New Roman"/>
                <w:sz w:val="26"/>
                <w:szCs w:val="26"/>
              </w:rPr>
              <w:t>/UBND-NCPC</w:t>
            </w:r>
          </w:p>
        </w:tc>
        <w:tc>
          <w:tcPr>
            <w:tcW w:w="5679" w:type="dxa"/>
            <w:tcBorders>
              <w:top w:val="nil"/>
              <w:left w:val="nil"/>
              <w:bottom w:val="nil"/>
              <w:right w:val="nil"/>
            </w:tcBorders>
          </w:tcPr>
          <w:p w:rsidR="00024CFB" w:rsidRDefault="00556473" w:rsidP="0032744E">
            <w:pPr>
              <w:spacing w:before="60"/>
              <w:ind w:left="-85"/>
              <w:jc w:val="center"/>
              <w:rPr>
                <w:i/>
                <w:iCs/>
                <w:sz w:val="26"/>
                <w:szCs w:val="26"/>
              </w:rPr>
            </w:pPr>
            <w:r>
              <w:rPr>
                <w:i/>
                <w:iCs/>
                <w:sz w:val="26"/>
                <w:szCs w:val="26"/>
              </w:rPr>
              <w:t xml:space="preserve">Thành phố Hồ Chí Minh, ngày  </w:t>
            </w:r>
            <w:r w:rsidR="0032744E">
              <w:rPr>
                <w:i/>
                <w:iCs/>
                <w:sz w:val="26"/>
                <w:szCs w:val="26"/>
              </w:rPr>
              <w:t>18</w:t>
            </w:r>
            <w:r>
              <w:rPr>
                <w:i/>
                <w:iCs/>
                <w:sz w:val="26"/>
                <w:szCs w:val="26"/>
              </w:rPr>
              <w:t xml:space="preserve"> tháng</w:t>
            </w:r>
            <w:r w:rsidR="00F06760">
              <w:rPr>
                <w:i/>
                <w:iCs/>
                <w:sz w:val="26"/>
                <w:szCs w:val="26"/>
              </w:rPr>
              <w:t xml:space="preserve"> 5</w:t>
            </w:r>
            <w:r>
              <w:rPr>
                <w:i/>
                <w:iCs/>
                <w:sz w:val="26"/>
                <w:szCs w:val="26"/>
              </w:rPr>
              <w:t xml:space="preserve"> năm 2017</w:t>
            </w:r>
          </w:p>
        </w:tc>
      </w:tr>
      <w:tr w:rsidR="00024CFB" w:rsidRPr="00F06760">
        <w:trPr>
          <w:cantSplit/>
          <w:trHeight w:val="605"/>
        </w:trPr>
        <w:tc>
          <w:tcPr>
            <w:tcW w:w="4158" w:type="dxa"/>
            <w:tcBorders>
              <w:top w:val="nil"/>
              <w:left w:val="nil"/>
              <w:bottom w:val="nil"/>
              <w:right w:val="nil"/>
            </w:tcBorders>
            <w:vAlign w:val="center"/>
          </w:tcPr>
          <w:p w:rsidR="00024CFB" w:rsidRDefault="00F06760" w:rsidP="00F06760">
            <w:pPr>
              <w:jc w:val="center"/>
              <w:rPr>
                <w:sz w:val="26"/>
                <w:szCs w:val="26"/>
              </w:rPr>
            </w:pPr>
            <w:bookmarkStart w:id="0" w:name="_GoBack"/>
            <w:r w:rsidRPr="00F06760">
              <w:rPr>
                <w:sz w:val="26"/>
                <w:szCs w:val="26"/>
              </w:rPr>
              <w:t xml:space="preserve">V/v đổi mới trong công tác tổ chức, chỉ đạo, điều hành, triển khai công tác phổ biến, giáo dục pháp luật </w:t>
            </w:r>
          </w:p>
          <w:bookmarkEnd w:id="0"/>
          <w:p w:rsidR="00F06760" w:rsidRPr="00F06760" w:rsidRDefault="00F06760" w:rsidP="00F06760">
            <w:pPr>
              <w:jc w:val="center"/>
              <w:rPr>
                <w:sz w:val="26"/>
                <w:szCs w:val="26"/>
                <w:lang w:val="en-GB"/>
              </w:rPr>
            </w:pPr>
          </w:p>
        </w:tc>
        <w:tc>
          <w:tcPr>
            <w:tcW w:w="5679" w:type="dxa"/>
            <w:tcBorders>
              <w:top w:val="nil"/>
              <w:left w:val="nil"/>
              <w:bottom w:val="nil"/>
              <w:right w:val="nil"/>
            </w:tcBorders>
          </w:tcPr>
          <w:p w:rsidR="00024CFB" w:rsidRPr="00F06760" w:rsidRDefault="00024CFB">
            <w:pPr>
              <w:spacing w:before="180"/>
              <w:jc w:val="center"/>
              <w:rPr>
                <w:rFonts w:ascii="Arial" w:hAnsi="Arial" w:cs="Arial"/>
                <w:i/>
                <w:iCs/>
                <w:sz w:val="26"/>
                <w:szCs w:val="26"/>
              </w:rPr>
            </w:pPr>
          </w:p>
        </w:tc>
      </w:tr>
    </w:tbl>
    <w:p w:rsidR="00024CFB" w:rsidRDefault="00024CFB">
      <w:pPr>
        <w:pStyle w:val="BodyText"/>
        <w:spacing w:before="120"/>
        <w:rPr>
          <w:rFonts w:ascii=".VnTime" w:hAnsi=".VnTime"/>
          <w:szCs w:val="28"/>
        </w:rPr>
      </w:pPr>
    </w:p>
    <w:tbl>
      <w:tblPr>
        <w:tblW w:w="9781" w:type="dxa"/>
        <w:tblInd w:w="-86" w:type="dxa"/>
        <w:tblLayout w:type="fixed"/>
        <w:tblCellMar>
          <w:left w:w="56" w:type="dxa"/>
          <w:right w:w="56" w:type="dxa"/>
        </w:tblCellMar>
        <w:tblLook w:val="0000" w:firstRow="0" w:lastRow="0" w:firstColumn="0" w:lastColumn="0" w:noHBand="0" w:noVBand="0"/>
      </w:tblPr>
      <w:tblGrid>
        <w:gridCol w:w="4395"/>
        <w:gridCol w:w="5386"/>
      </w:tblGrid>
      <w:tr w:rsidR="00024CFB" w:rsidTr="001F6446">
        <w:tc>
          <w:tcPr>
            <w:tcW w:w="4395" w:type="dxa"/>
            <w:tcBorders>
              <w:top w:val="nil"/>
              <w:left w:val="nil"/>
              <w:bottom w:val="nil"/>
              <w:right w:val="nil"/>
            </w:tcBorders>
          </w:tcPr>
          <w:p w:rsidR="00024CFB" w:rsidRDefault="00556473">
            <w:pPr>
              <w:jc w:val="right"/>
              <w:rPr>
                <w:sz w:val="28"/>
                <w:szCs w:val="28"/>
              </w:rPr>
            </w:pPr>
            <w:r>
              <w:rPr>
                <w:sz w:val="28"/>
                <w:szCs w:val="28"/>
              </w:rPr>
              <w:t>Kính gửi:</w:t>
            </w:r>
          </w:p>
        </w:tc>
        <w:tc>
          <w:tcPr>
            <w:tcW w:w="5386" w:type="dxa"/>
            <w:tcBorders>
              <w:top w:val="nil"/>
              <w:left w:val="nil"/>
              <w:bottom w:val="nil"/>
              <w:right w:val="nil"/>
            </w:tcBorders>
          </w:tcPr>
          <w:p w:rsidR="00024CFB" w:rsidRDefault="00024CFB">
            <w:pPr>
              <w:rPr>
                <w:sz w:val="28"/>
                <w:szCs w:val="28"/>
                <w:lang w:val="nl-NL"/>
              </w:rPr>
            </w:pPr>
          </w:p>
          <w:p w:rsidR="001F6446" w:rsidRPr="00084A5D" w:rsidRDefault="001F6446" w:rsidP="001F6446">
            <w:pPr>
              <w:pStyle w:val="BodyTextIndent3"/>
              <w:spacing w:after="0"/>
              <w:ind w:left="0"/>
              <w:rPr>
                <w:noProof/>
                <w:sz w:val="28"/>
                <w:szCs w:val="28"/>
              </w:rPr>
            </w:pPr>
            <w:r w:rsidRPr="00084A5D">
              <w:rPr>
                <w:noProof/>
                <w:sz w:val="28"/>
                <w:szCs w:val="28"/>
              </w:rPr>
              <w:t>- Các Sở, ngành;</w:t>
            </w:r>
          </w:p>
          <w:p w:rsidR="001F6446" w:rsidRPr="00084A5D" w:rsidRDefault="001F6446" w:rsidP="001F6446">
            <w:pPr>
              <w:pStyle w:val="BodyTextIndent3"/>
              <w:spacing w:after="0"/>
              <w:ind w:left="0"/>
              <w:rPr>
                <w:noProof/>
                <w:sz w:val="28"/>
                <w:szCs w:val="28"/>
              </w:rPr>
            </w:pPr>
            <w:r w:rsidRPr="00084A5D">
              <w:rPr>
                <w:noProof/>
                <w:sz w:val="28"/>
                <w:szCs w:val="28"/>
              </w:rPr>
              <w:t>- Các đoàn thể Thành phố;</w:t>
            </w:r>
          </w:p>
          <w:p w:rsidR="00024CFB" w:rsidRDefault="001F6446" w:rsidP="001F6446">
            <w:pPr>
              <w:rPr>
                <w:sz w:val="28"/>
                <w:szCs w:val="28"/>
                <w:lang w:val="nl-NL"/>
              </w:rPr>
            </w:pPr>
            <w:r w:rsidRPr="00084A5D">
              <w:rPr>
                <w:noProof/>
                <w:sz w:val="28"/>
                <w:szCs w:val="28"/>
              </w:rPr>
              <w:t>- Chủ tịch Ủy ban nhân dân các quận, huyện.</w:t>
            </w:r>
          </w:p>
        </w:tc>
      </w:tr>
    </w:tbl>
    <w:p w:rsidR="00024CFB" w:rsidRDefault="00024CFB">
      <w:pPr>
        <w:spacing w:before="120" w:line="264" w:lineRule="auto"/>
        <w:ind w:firstLine="720"/>
        <w:jc w:val="both"/>
        <w:rPr>
          <w:sz w:val="12"/>
          <w:szCs w:val="28"/>
        </w:rPr>
      </w:pPr>
    </w:p>
    <w:p w:rsidR="00452193" w:rsidRPr="00452193" w:rsidRDefault="00452193" w:rsidP="001A7731">
      <w:pPr>
        <w:spacing w:before="120" w:line="288" w:lineRule="auto"/>
        <w:ind w:firstLine="720"/>
        <w:jc w:val="both"/>
        <w:rPr>
          <w:i/>
          <w:sz w:val="28"/>
          <w:szCs w:val="28"/>
          <w:lang w:eastAsia="vi-VN"/>
        </w:rPr>
      </w:pPr>
      <w:r w:rsidRPr="00452193">
        <w:rPr>
          <w:sz w:val="28"/>
          <w:szCs w:val="28"/>
        </w:rPr>
        <w:t>Xét đề nghị của Sở Nội vụ và Sở Tư pháp tại Tờ trình số</w:t>
      </w:r>
      <w:r w:rsidRPr="00452193">
        <w:rPr>
          <w:b/>
          <w:sz w:val="28"/>
          <w:szCs w:val="28"/>
          <w:lang w:eastAsia="vi-VN"/>
        </w:rPr>
        <w:t xml:space="preserve"> </w:t>
      </w:r>
      <w:r w:rsidRPr="00452193">
        <w:rPr>
          <w:sz w:val="28"/>
          <w:szCs w:val="28"/>
          <w:lang w:eastAsia="vi-VN"/>
        </w:rPr>
        <w:t>574/TTr-SN</w:t>
      </w:r>
      <w:r w:rsidR="00B26FB8">
        <w:rPr>
          <w:sz w:val="28"/>
          <w:szCs w:val="28"/>
          <w:lang w:eastAsia="vi-VN"/>
        </w:rPr>
        <w:t>V-STP ngày 18 tháng 01 năm 2017,</w:t>
      </w:r>
      <w:r w:rsidRPr="00452193">
        <w:rPr>
          <w:sz w:val="28"/>
          <w:szCs w:val="28"/>
          <w:lang w:eastAsia="vi-VN"/>
        </w:rPr>
        <w:t xml:space="preserve"> ý kiến của Thanh tra Thành phố tại Công văn số 403/TTTP-VP ngày 03 tháng 3 năm 2017; ý kiến giải trình của Sở Tư pháp tại </w:t>
      </w:r>
      <w:r w:rsidR="00B26FB8">
        <w:rPr>
          <w:sz w:val="28"/>
          <w:szCs w:val="28"/>
          <w:lang w:eastAsia="vi-VN"/>
        </w:rPr>
        <w:br/>
      </w:r>
      <w:r w:rsidRPr="00452193">
        <w:rPr>
          <w:sz w:val="28"/>
          <w:szCs w:val="28"/>
          <w:lang w:eastAsia="vi-VN"/>
        </w:rPr>
        <w:t xml:space="preserve">Công văn số 2740/STP-PBGDPL và của Sở Nội vụ tại Tờ trình số </w:t>
      </w:r>
      <w:r w:rsidR="00B26FB8">
        <w:rPr>
          <w:sz w:val="28"/>
          <w:szCs w:val="28"/>
          <w:lang w:eastAsia="vi-VN"/>
        </w:rPr>
        <w:t>1725</w:t>
      </w:r>
      <w:r w:rsidRPr="00452193">
        <w:rPr>
          <w:sz w:val="28"/>
          <w:szCs w:val="28"/>
          <w:lang w:eastAsia="vi-VN"/>
        </w:rPr>
        <w:t xml:space="preserve">/TTr-SNV ngày </w:t>
      </w:r>
      <w:r w:rsidR="00B26FB8">
        <w:rPr>
          <w:sz w:val="28"/>
          <w:szCs w:val="28"/>
          <w:lang w:eastAsia="vi-VN"/>
        </w:rPr>
        <w:t>04</w:t>
      </w:r>
      <w:r w:rsidRPr="00452193">
        <w:rPr>
          <w:sz w:val="28"/>
          <w:szCs w:val="28"/>
          <w:lang w:eastAsia="vi-VN"/>
        </w:rPr>
        <w:t xml:space="preserve"> tháng </w:t>
      </w:r>
      <w:r w:rsidR="00B26FB8">
        <w:rPr>
          <w:sz w:val="28"/>
          <w:szCs w:val="28"/>
          <w:lang w:eastAsia="vi-VN"/>
        </w:rPr>
        <w:t>5</w:t>
      </w:r>
      <w:r w:rsidRPr="00452193">
        <w:rPr>
          <w:sz w:val="28"/>
          <w:szCs w:val="28"/>
          <w:lang w:eastAsia="vi-VN"/>
        </w:rPr>
        <w:t xml:space="preserve"> năm 2017 về </w:t>
      </w:r>
      <w:r w:rsidRPr="00452193">
        <w:rPr>
          <w:sz w:val="28"/>
          <w:szCs w:val="28"/>
        </w:rPr>
        <w:t>đề xuất</w:t>
      </w:r>
      <w:r w:rsidRPr="00452193">
        <w:rPr>
          <w:i/>
          <w:sz w:val="28"/>
          <w:szCs w:val="28"/>
        </w:rPr>
        <w:t xml:space="preserve"> </w:t>
      </w:r>
      <w:r w:rsidRPr="00452193">
        <w:rPr>
          <w:sz w:val="28"/>
          <w:szCs w:val="28"/>
        </w:rPr>
        <w:t xml:space="preserve">đổi mới trong công tác tổ chức, chỉ đạo, </w:t>
      </w:r>
      <w:r w:rsidR="00B26FB8">
        <w:rPr>
          <w:sz w:val="28"/>
          <w:szCs w:val="28"/>
        </w:rPr>
        <w:br/>
      </w:r>
      <w:r w:rsidRPr="00452193">
        <w:rPr>
          <w:sz w:val="28"/>
          <w:szCs w:val="28"/>
        </w:rPr>
        <w:t>điều hành, triển khai công tác phổ biến, giáo dục pháp luật trên địa bàn Thành phố, Ủy ban nhân dân Thành phố có ý kiến chỉ đạo như sau:</w:t>
      </w:r>
    </w:p>
    <w:p w:rsidR="00452193" w:rsidRPr="00452193" w:rsidRDefault="00452193" w:rsidP="001A7731">
      <w:pPr>
        <w:spacing w:before="120" w:line="288" w:lineRule="auto"/>
        <w:ind w:firstLine="720"/>
        <w:jc w:val="both"/>
        <w:rPr>
          <w:sz w:val="28"/>
          <w:szCs w:val="28"/>
        </w:rPr>
      </w:pPr>
      <w:r w:rsidRPr="00452193">
        <w:rPr>
          <w:sz w:val="28"/>
          <w:szCs w:val="28"/>
        </w:rPr>
        <w:t xml:space="preserve">- Các Ban Chỉ đạo </w:t>
      </w:r>
      <w:r w:rsidR="00DB2782">
        <w:rPr>
          <w:sz w:val="28"/>
          <w:szCs w:val="28"/>
        </w:rPr>
        <w:t>đ</w:t>
      </w:r>
      <w:r w:rsidRPr="00452193">
        <w:rPr>
          <w:sz w:val="28"/>
          <w:szCs w:val="28"/>
        </w:rPr>
        <w:t>ề án</w:t>
      </w:r>
      <w:r w:rsidRPr="00452193">
        <w:rPr>
          <w:sz w:val="28"/>
          <w:szCs w:val="28"/>
          <w:lang w:val="da-DK"/>
        </w:rPr>
        <w:t xml:space="preserve">, </w:t>
      </w:r>
      <w:r w:rsidR="00DB2782">
        <w:rPr>
          <w:sz w:val="28"/>
          <w:szCs w:val="28"/>
          <w:lang w:val="da-DK"/>
        </w:rPr>
        <w:t>k</w:t>
      </w:r>
      <w:r w:rsidRPr="00452193">
        <w:rPr>
          <w:sz w:val="28"/>
          <w:szCs w:val="28"/>
          <w:lang w:val="da-DK"/>
        </w:rPr>
        <w:t>ế hoạch phổ biến, giáo dục pháp luật</w:t>
      </w:r>
      <w:r w:rsidRPr="00452193">
        <w:rPr>
          <w:sz w:val="28"/>
          <w:szCs w:val="28"/>
        </w:rPr>
        <w:t xml:space="preserve"> giai đoạn 2013 - 2016 tự giải thể do đã hoàn thành nhiệm vụ.</w:t>
      </w:r>
    </w:p>
    <w:p w:rsidR="00452193" w:rsidRPr="00452193" w:rsidRDefault="00452193" w:rsidP="001A7731">
      <w:pPr>
        <w:spacing w:before="120" w:line="288" w:lineRule="auto"/>
        <w:ind w:firstLine="720"/>
        <w:jc w:val="both"/>
        <w:rPr>
          <w:spacing w:val="-5"/>
          <w:sz w:val="28"/>
          <w:szCs w:val="28"/>
        </w:rPr>
      </w:pPr>
      <w:r w:rsidRPr="00452193">
        <w:rPr>
          <w:spacing w:val="-5"/>
          <w:sz w:val="28"/>
          <w:szCs w:val="28"/>
        </w:rPr>
        <w:t>- Căn cứ chức năng, nhiệm vụ được giao, căn cứ các Quyết định của Thủ tướng Chính phủ thay thế các Quyết định ban hành giai đoạn 2013 - 2016  (</w:t>
      </w:r>
      <w:r w:rsidRPr="00452193">
        <w:rPr>
          <w:i/>
          <w:spacing w:val="-5"/>
          <w:sz w:val="28"/>
          <w:szCs w:val="28"/>
        </w:rPr>
        <w:t>Quyết định</w:t>
      </w:r>
      <w:r w:rsidRPr="00452193">
        <w:rPr>
          <w:spacing w:val="-5"/>
          <w:sz w:val="28"/>
          <w:szCs w:val="28"/>
        </w:rPr>
        <w:t xml:space="preserve"> </w:t>
      </w:r>
      <w:r w:rsidRPr="00452193">
        <w:rPr>
          <w:i/>
          <w:spacing w:val="-5"/>
          <w:sz w:val="28"/>
          <w:szCs w:val="28"/>
        </w:rPr>
        <w:t xml:space="preserve">thay thế Quyết định số 409/QĐ-TTg ngày 09 tháng 4 năm 2012 của Thủ tướng Chính phủ </w:t>
      </w:r>
      <w:r w:rsidR="00DB2782">
        <w:rPr>
          <w:i/>
          <w:spacing w:val="-5"/>
          <w:sz w:val="28"/>
          <w:szCs w:val="28"/>
        </w:rPr>
        <w:br/>
      </w:r>
      <w:r w:rsidRPr="00452193">
        <w:rPr>
          <w:i/>
          <w:spacing w:val="-5"/>
          <w:sz w:val="28"/>
          <w:szCs w:val="28"/>
        </w:rPr>
        <w:t>ban hành Chương trình hành động thực hiện Kết luận số 04-KL/TW ngày 19 tháng 4 năm 2011 của Ban Bí thư Trung ương Đảng (khóa XI),</w:t>
      </w:r>
      <w:r w:rsidRPr="00452193">
        <w:rPr>
          <w:i/>
          <w:spacing w:val="-5"/>
          <w:sz w:val="28"/>
          <w:szCs w:val="28"/>
          <w:lang w:val="da-DK"/>
        </w:rPr>
        <w:t xml:space="preserve"> </w:t>
      </w:r>
      <w:r w:rsidRPr="00452193">
        <w:rPr>
          <w:i/>
          <w:spacing w:val="-5"/>
          <w:sz w:val="28"/>
          <w:szCs w:val="28"/>
        </w:rPr>
        <w:t>Quyết định</w:t>
      </w:r>
      <w:r w:rsidRPr="00452193">
        <w:rPr>
          <w:spacing w:val="-5"/>
          <w:sz w:val="28"/>
          <w:szCs w:val="28"/>
        </w:rPr>
        <w:t xml:space="preserve"> </w:t>
      </w:r>
      <w:r w:rsidRPr="00452193">
        <w:rPr>
          <w:i/>
          <w:spacing w:val="-5"/>
          <w:sz w:val="28"/>
          <w:szCs w:val="28"/>
          <w:lang w:val="da-DK"/>
        </w:rPr>
        <w:t>thay thế Quyết định số 1133/QĐ-TTg ngày 15 tháng 7 năm 2013 phê duyệt và tổ chức thực hiện các Đề án tại Quyết định số 409/QĐ-TTg</w:t>
      </w:r>
      <w:r w:rsidR="00DB2782">
        <w:rPr>
          <w:i/>
          <w:spacing w:val="-5"/>
          <w:sz w:val="28"/>
          <w:szCs w:val="28"/>
          <w:lang w:val="da-DK"/>
        </w:rPr>
        <w:t>,</w:t>
      </w:r>
      <w:r w:rsidRPr="00452193">
        <w:rPr>
          <w:i/>
          <w:spacing w:val="-5"/>
          <w:sz w:val="28"/>
          <w:szCs w:val="28"/>
          <w:lang w:val="da-DK"/>
        </w:rPr>
        <w:t>...</w:t>
      </w:r>
      <w:r w:rsidRPr="00452193">
        <w:rPr>
          <w:spacing w:val="-5"/>
          <w:sz w:val="28"/>
          <w:szCs w:val="28"/>
          <w:lang w:val="da-DK"/>
        </w:rPr>
        <w:t xml:space="preserve">), các cơ quan được giao chủ trì thực hiện </w:t>
      </w:r>
      <w:r w:rsidR="00DB2782">
        <w:rPr>
          <w:spacing w:val="-5"/>
          <w:sz w:val="28"/>
          <w:szCs w:val="28"/>
          <w:lang w:val="da-DK"/>
        </w:rPr>
        <w:t>đ</w:t>
      </w:r>
      <w:r w:rsidRPr="00452193">
        <w:rPr>
          <w:spacing w:val="-5"/>
          <w:sz w:val="28"/>
          <w:szCs w:val="28"/>
          <w:lang w:val="da-DK"/>
        </w:rPr>
        <w:t xml:space="preserve">ề án, </w:t>
      </w:r>
      <w:r w:rsidR="00DB2782">
        <w:rPr>
          <w:spacing w:val="-5"/>
          <w:sz w:val="28"/>
          <w:szCs w:val="28"/>
          <w:lang w:val="da-DK"/>
        </w:rPr>
        <w:t>k</w:t>
      </w:r>
      <w:r w:rsidRPr="00452193">
        <w:rPr>
          <w:spacing w:val="-5"/>
          <w:sz w:val="28"/>
          <w:szCs w:val="28"/>
          <w:lang w:val="da-DK"/>
        </w:rPr>
        <w:t xml:space="preserve">ế hoạch phổ biến, giáo dục pháp luật giai đoạn 2016 - 2021 theo Quyết định của Thủ tướng </w:t>
      </w:r>
      <w:r w:rsidR="009A10B5">
        <w:rPr>
          <w:spacing w:val="-5"/>
          <w:sz w:val="28"/>
          <w:szCs w:val="28"/>
          <w:lang w:val="da-DK"/>
        </w:rPr>
        <w:br/>
      </w:r>
      <w:r w:rsidRPr="00452193">
        <w:rPr>
          <w:spacing w:val="-5"/>
          <w:sz w:val="28"/>
          <w:szCs w:val="28"/>
          <w:lang w:val="da-DK"/>
        </w:rPr>
        <w:t>Chính phủ đề xuất thành lập Ban Chỉ đạo gửi Sở Nội vụ thẩm định trình Ủy ban nhân dân Thành phố.</w:t>
      </w:r>
    </w:p>
    <w:p w:rsidR="00452193" w:rsidRPr="00452193" w:rsidRDefault="00452193" w:rsidP="001A7731">
      <w:pPr>
        <w:spacing w:before="120" w:line="288" w:lineRule="auto"/>
        <w:ind w:firstLine="720"/>
        <w:jc w:val="both"/>
        <w:rPr>
          <w:sz w:val="28"/>
          <w:szCs w:val="28"/>
        </w:rPr>
      </w:pPr>
      <w:r w:rsidRPr="00452193">
        <w:rPr>
          <w:sz w:val="28"/>
          <w:szCs w:val="28"/>
        </w:rPr>
        <w:t xml:space="preserve">- Giao trách nhiệm cho Thủ trưởng, người đứng đầu các Sở, ngành, đoàn thể Thành phố chủ trì triển khai các </w:t>
      </w:r>
      <w:r w:rsidR="00E44A86">
        <w:rPr>
          <w:sz w:val="28"/>
          <w:szCs w:val="28"/>
        </w:rPr>
        <w:t>đ</w:t>
      </w:r>
      <w:r w:rsidRPr="00452193">
        <w:rPr>
          <w:sz w:val="28"/>
          <w:szCs w:val="28"/>
        </w:rPr>
        <w:t xml:space="preserve">ề án phổ biến, giáo dục pháp luật giai đoạn 2016 - 2021 </w:t>
      </w:r>
      <w:r w:rsidRPr="00E44A86">
        <w:rPr>
          <w:i/>
          <w:sz w:val="28"/>
          <w:szCs w:val="28"/>
        </w:rPr>
        <w:t>(phù hợp với chức năng, nhiệm vụ của từng Sở, ngành, đoàn thể và theo hướng dẫn chỉ đạo của Trung ương không thành lập các Ban Chỉ đạo)</w:t>
      </w:r>
      <w:r w:rsidRPr="00452193">
        <w:rPr>
          <w:sz w:val="28"/>
          <w:szCs w:val="28"/>
        </w:rPr>
        <w:t xml:space="preserve"> nhằm nâng cao </w:t>
      </w:r>
      <w:r w:rsidR="00E44A86">
        <w:rPr>
          <w:sz w:val="28"/>
          <w:szCs w:val="28"/>
        </w:rPr>
        <w:br/>
      </w:r>
      <w:r w:rsidRPr="00452193">
        <w:rPr>
          <w:sz w:val="28"/>
          <w:szCs w:val="28"/>
        </w:rPr>
        <w:t>hiệu quả công tác phổ biến, giáo dục pháp luật giai đoạn 2016</w:t>
      </w:r>
      <w:r w:rsidR="00E44A86">
        <w:rPr>
          <w:sz w:val="28"/>
          <w:szCs w:val="28"/>
        </w:rPr>
        <w:t xml:space="preserve"> </w:t>
      </w:r>
      <w:r w:rsidRPr="00452193">
        <w:rPr>
          <w:sz w:val="28"/>
          <w:szCs w:val="28"/>
        </w:rPr>
        <w:t>-</w:t>
      </w:r>
      <w:r w:rsidR="00E44A86">
        <w:rPr>
          <w:sz w:val="28"/>
          <w:szCs w:val="28"/>
        </w:rPr>
        <w:t xml:space="preserve"> </w:t>
      </w:r>
      <w:r w:rsidRPr="00452193">
        <w:rPr>
          <w:sz w:val="28"/>
          <w:szCs w:val="28"/>
        </w:rPr>
        <w:t>2021.</w:t>
      </w:r>
    </w:p>
    <w:p w:rsidR="00452193" w:rsidRPr="00452193" w:rsidRDefault="00452193" w:rsidP="001A7731">
      <w:pPr>
        <w:spacing w:before="120" w:line="288" w:lineRule="auto"/>
        <w:ind w:firstLine="720"/>
        <w:jc w:val="both"/>
        <w:rPr>
          <w:sz w:val="28"/>
          <w:szCs w:val="28"/>
        </w:rPr>
      </w:pPr>
      <w:r w:rsidRPr="00452193">
        <w:rPr>
          <w:sz w:val="28"/>
          <w:szCs w:val="28"/>
        </w:rPr>
        <w:lastRenderedPageBreak/>
        <w:t xml:space="preserve">- Giao Sở Tư pháp tăng cường công tác thanh tra, kiểm tra trách nhiệm </w:t>
      </w:r>
      <w:r w:rsidR="008B52AD">
        <w:rPr>
          <w:sz w:val="28"/>
          <w:szCs w:val="28"/>
        </w:rPr>
        <w:br/>
        <w:t>T</w:t>
      </w:r>
      <w:r w:rsidRPr="00452193">
        <w:rPr>
          <w:sz w:val="28"/>
          <w:szCs w:val="28"/>
        </w:rPr>
        <w:t>hủ trưởng trong thực hiện quy định pháp luật về phổ biến, giáo dục pháp luật trên địa bàn Thành phố.</w:t>
      </w:r>
    </w:p>
    <w:p w:rsidR="00452193" w:rsidRPr="00452193" w:rsidRDefault="00452193" w:rsidP="001A7731">
      <w:pPr>
        <w:spacing w:before="120" w:line="288" w:lineRule="auto"/>
        <w:ind w:firstLine="720"/>
        <w:jc w:val="both"/>
        <w:rPr>
          <w:sz w:val="28"/>
          <w:szCs w:val="28"/>
        </w:rPr>
      </w:pPr>
      <w:r w:rsidRPr="00452193">
        <w:rPr>
          <w:sz w:val="28"/>
          <w:szCs w:val="28"/>
        </w:rPr>
        <w:t xml:space="preserve">- Giao Thanh tra Thành phố trong quá trình tiến hành thanh tra trách nhiệm Thủ trưởng cần chú trọng nội dung phổ biến, giáo dục pháp luật của các cơ quan, </w:t>
      </w:r>
      <w:r w:rsidR="008B52AD">
        <w:rPr>
          <w:sz w:val="28"/>
          <w:szCs w:val="28"/>
        </w:rPr>
        <w:br/>
      </w:r>
      <w:r w:rsidRPr="00452193">
        <w:rPr>
          <w:sz w:val="28"/>
          <w:szCs w:val="28"/>
        </w:rPr>
        <w:t>tổ chức, doanh nghiệp được thanh tra.</w:t>
      </w:r>
    </w:p>
    <w:p w:rsidR="00024CFB" w:rsidRDefault="00452193" w:rsidP="001A7731">
      <w:pPr>
        <w:spacing w:before="120" w:line="288" w:lineRule="auto"/>
        <w:ind w:firstLine="720"/>
        <w:jc w:val="both"/>
        <w:rPr>
          <w:sz w:val="28"/>
          <w:szCs w:val="28"/>
        </w:rPr>
      </w:pPr>
      <w:r w:rsidRPr="00452193">
        <w:rPr>
          <w:sz w:val="28"/>
          <w:szCs w:val="28"/>
        </w:rPr>
        <w:t>- Giao Giám đốc các Sở, Chủ tịch Ủy ban nhân dân các quận, huyện chỉ đạo Thanh tra Sở, Thanh tra quận, huyện khi thanh tra trách nhiệm thủ trưởng đối với các cơ quan, tổ chức, doanh nghiệp cần chú trọng nội dung phổ biến, giáo dục pháp luật của đối tượng thanh tra</w:t>
      </w:r>
      <w:r w:rsidRPr="00452193">
        <w:rPr>
          <w:rFonts w:eastAsia="Times New Roman,Bold"/>
          <w:bCs/>
          <w:sz w:val="28"/>
          <w:szCs w:val="28"/>
        </w:rPr>
        <w:t>./.</w:t>
      </w:r>
      <w:r w:rsidR="00556473">
        <w:rPr>
          <w:sz w:val="28"/>
          <w:szCs w:val="28"/>
        </w:rPr>
        <w:t xml:space="preserve">   </w:t>
      </w:r>
    </w:p>
    <w:p w:rsidR="00024CFB" w:rsidRDefault="00024CFB">
      <w:pPr>
        <w:spacing w:before="120" w:line="288" w:lineRule="auto"/>
        <w:ind w:firstLine="720"/>
        <w:jc w:val="both"/>
        <w:rPr>
          <w:sz w:val="28"/>
          <w:szCs w:val="28"/>
        </w:rPr>
      </w:pPr>
    </w:p>
    <w:tbl>
      <w:tblPr>
        <w:tblW w:w="8755" w:type="dxa"/>
        <w:tblLook w:val="01E0" w:firstRow="1" w:lastRow="1" w:firstColumn="1" w:lastColumn="1" w:noHBand="0" w:noVBand="0"/>
      </w:tblPr>
      <w:tblGrid>
        <w:gridCol w:w="4928"/>
        <w:gridCol w:w="3827"/>
      </w:tblGrid>
      <w:tr w:rsidR="00024CFB">
        <w:tc>
          <w:tcPr>
            <w:tcW w:w="4928" w:type="dxa"/>
          </w:tcPr>
          <w:p w:rsidR="00024CFB" w:rsidRDefault="00556473">
            <w:pPr>
              <w:rPr>
                <w:b/>
                <w:i/>
              </w:rPr>
            </w:pPr>
            <w:r>
              <w:rPr>
                <w:b/>
                <w:i/>
              </w:rPr>
              <w:t>Nơi nhận:</w:t>
            </w:r>
          </w:p>
          <w:p w:rsidR="00024CFB" w:rsidRDefault="00556473">
            <w:pPr>
              <w:rPr>
                <w:sz w:val="22"/>
                <w:szCs w:val="22"/>
              </w:rPr>
            </w:pPr>
            <w:r>
              <w:rPr>
                <w:sz w:val="22"/>
                <w:szCs w:val="22"/>
              </w:rPr>
              <w:t>- Như trên;</w:t>
            </w:r>
          </w:p>
          <w:p w:rsidR="00024CFB" w:rsidRDefault="00556473">
            <w:pPr>
              <w:rPr>
                <w:sz w:val="22"/>
                <w:szCs w:val="22"/>
              </w:rPr>
            </w:pPr>
            <w:r>
              <w:rPr>
                <w:sz w:val="22"/>
                <w:szCs w:val="22"/>
              </w:rPr>
              <w:t xml:space="preserve">- TTUB: CT, </w:t>
            </w:r>
            <w:r w:rsidR="0041467F">
              <w:rPr>
                <w:sz w:val="22"/>
                <w:szCs w:val="22"/>
              </w:rPr>
              <w:t xml:space="preserve">các </w:t>
            </w:r>
            <w:r>
              <w:rPr>
                <w:sz w:val="22"/>
                <w:szCs w:val="22"/>
              </w:rPr>
              <w:t>PCT;</w:t>
            </w:r>
          </w:p>
          <w:p w:rsidR="0041467F" w:rsidRDefault="0041467F">
            <w:pPr>
              <w:rPr>
                <w:sz w:val="22"/>
                <w:szCs w:val="22"/>
              </w:rPr>
            </w:pPr>
            <w:r>
              <w:rPr>
                <w:sz w:val="22"/>
                <w:szCs w:val="22"/>
              </w:rPr>
              <w:t>- Ban Nội chính Thành ủy;</w:t>
            </w:r>
          </w:p>
          <w:p w:rsidR="00570968" w:rsidRDefault="00570968">
            <w:pPr>
              <w:rPr>
                <w:sz w:val="22"/>
                <w:szCs w:val="22"/>
              </w:rPr>
            </w:pPr>
            <w:r>
              <w:rPr>
                <w:sz w:val="22"/>
                <w:szCs w:val="22"/>
              </w:rPr>
              <w:t xml:space="preserve">- Sở </w:t>
            </w:r>
            <w:r w:rsidR="0041467F">
              <w:rPr>
                <w:sz w:val="22"/>
                <w:szCs w:val="22"/>
              </w:rPr>
              <w:t>Nội vụ (3b)</w:t>
            </w:r>
            <w:r>
              <w:rPr>
                <w:sz w:val="22"/>
                <w:szCs w:val="22"/>
              </w:rPr>
              <w:t>;</w:t>
            </w:r>
          </w:p>
          <w:p w:rsidR="0041467F" w:rsidRDefault="0041467F">
            <w:pPr>
              <w:rPr>
                <w:sz w:val="22"/>
                <w:szCs w:val="22"/>
              </w:rPr>
            </w:pPr>
            <w:r>
              <w:rPr>
                <w:sz w:val="22"/>
                <w:szCs w:val="22"/>
              </w:rPr>
              <w:t>- Sở Tư pháp</w:t>
            </w:r>
            <w:r w:rsidR="00DB2782">
              <w:rPr>
                <w:sz w:val="22"/>
                <w:szCs w:val="22"/>
              </w:rPr>
              <w:t>;</w:t>
            </w:r>
          </w:p>
          <w:p w:rsidR="00DB2782" w:rsidRDefault="00DB2782">
            <w:pPr>
              <w:rPr>
                <w:sz w:val="22"/>
                <w:szCs w:val="22"/>
              </w:rPr>
            </w:pPr>
            <w:r>
              <w:rPr>
                <w:sz w:val="22"/>
                <w:szCs w:val="22"/>
              </w:rPr>
              <w:t>- Sở Tài chính;</w:t>
            </w:r>
          </w:p>
          <w:p w:rsidR="00024CFB" w:rsidRDefault="00556473">
            <w:pPr>
              <w:rPr>
                <w:sz w:val="22"/>
                <w:szCs w:val="22"/>
              </w:rPr>
            </w:pPr>
            <w:r>
              <w:rPr>
                <w:sz w:val="22"/>
                <w:szCs w:val="22"/>
              </w:rPr>
              <w:t xml:space="preserve">- VPUB: CVP, </w:t>
            </w:r>
            <w:r w:rsidR="0041467F">
              <w:rPr>
                <w:sz w:val="22"/>
                <w:szCs w:val="22"/>
              </w:rPr>
              <w:t>các PVP</w:t>
            </w:r>
            <w:r>
              <w:rPr>
                <w:sz w:val="22"/>
                <w:szCs w:val="22"/>
              </w:rPr>
              <w:t>;</w:t>
            </w:r>
          </w:p>
          <w:p w:rsidR="00024CFB" w:rsidRDefault="00556473">
            <w:pPr>
              <w:rPr>
                <w:sz w:val="22"/>
                <w:szCs w:val="22"/>
              </w:rPr>
            </w:pPr>
            <w:r>
              <w:rPr>
                <w:sz w:val="22"/>
                <w:szCs w:val="22"/>
              </w:rPr>
              <w:t>- P.KT, P.NCPC;</w:t>
            </w:r>
          </w:p>
          <w:p w:rsidR="00024CFB" w:rsidRDefault="00556473">
            <w:r>
              <w:rPr>
                <w:sz w:val="22"/>
                <w:szCs w:val="22"/>
              </w:rPr>
              <w:t>- Lưu: VT, (NC/TrH)</w:t>
            </w:r>
          </w:p>
        </w:tc>
        <w:tc>
          <w:tcPr>
            <w:tcW w:w="3827" w:type="dxa"/>
          </w:tcPr>
          <w:p w:rsidR="00024CFB" w:rsidRDefault="00556473">
            <w:pPr>
              <w:jc w:val="center"/>
              <w:rPr>
                <w:b/>
                <w:sz w:val="28"/>
                <w:szCs w:val="28"/>
              </w:rPr>
            </w:pPr>
            <w:r>
              <w:rPr>
                <w:b/>
                <w:sz w:val="28"/>
                <w:szCs w:val="28"/>
              </w:rPr>
              <w:t>KT. CHỦ TỊCH</w:t>
            </w:r>
          </w:p>
          <w:p w:rsidR="00024CFB" w:rsidRDefault="00556473">
            <w:pPr>
              <w:jc w:val="center"/>
              <w:rPr>
                <w:b/>
                <w:sz w:val="28"/>
                <w:szCs w:val="28"/>
              </w:rPr>
            </w:pPr>
            <w:r>
              <w:rPr>
                <w:b/>
                <w:sz w:val="28"/>
                <w:szCs w:val="28"/>
              </w:rPr>
              <w:t>PHÓ CHỦ TỊCH</w:t>
            </w:r>
          </w:p>
          <w:p w:rsidR="00024CFB" w:rsidRDefault="00024CFB">
            <w:pPr>
              <w:jc w:val="center"/>
              <w:rPr>
                <w:b/>
                <w:sz w:val="28"/>
                <w:szCs w:val="28"/>
              </w:rPr>
            </w:pPr>
          </w:p>
          <w:p w:rsidR="00024CFB" w:rsidRDefault="00024CFB">
            <w:pPr>
              <w:jc w:val="center"/>
              <w:rPr>
                <w:b/>
                <w:sz w:val="28"/>
                <w:szCs w:val="28"/>
              </w:rPr>
            </w:pPr>
          </w:p>
          <w:p w:rsidR="00024CFB" w:rsidRDefault="00024CFB">
            <w:pPr>
              <w:jc w:val="center"/>
              <w:rPr>
                <w:i/>
                <w:sz w:val="28"/>
                <w:szCs w:val="28"/>
              </w:rPr>
            </w:pPr>
          </w:p>
          <w:p w:rsidR="00024CFB" w:rsidRDefault="00024CFB">
            <w:pPr>
              <w:jc w:val="center"/>
              <w:rPr>
                <w:b/>
                <w:sz w:val="28"/>
                <w:szCs w:val="28"/>
              </w:rPr>
            </w:pPr>
          </w:p>
          <w:p w:rsidR="00024CFB" w:rsidRDefault="00024CFB">
            <w:pPr>
              <w:jc w:val="center"/>
              <w:rPr>
                <w:b/>
                <w:sz w:val="28"/>
                <w:szCs w:val="28"/>
              </w:rPr>
            </w:pPr>
          </w:p>
          <w:p w:rsidR="00024CFB" w:rsidRDefault="00556473">
            <w:pPr>
              <w:jc w:val="center"/>
              <w:rPr>
                <w:b/>
                <w:sz w:val="28"/>
                <w:szCs w:val="28"/>
              </w:rPr>
            </w:pPr>
            <w:r>
              <w:rPr>
                <w:b/>
                <w:sz w:val="28"/>
                <w:szCs w:val="28"/>
              </w:rPr>
              <w:t>Huỳnh Cách Mạng</w:t>
            </w:r>
          </w:p>
        </w:tc>
      </w:tr>
    </w:tbl>
    <w:p w:rsidR="00024CFB" w:rsidRDefault="00556473">
      <w:pPr>
        <w:ind w:firstLine="3720"/>
      </w:pPr>
      <w:r>
        <w:t xml:space="preserve">  </w:t>
      </w:r>
    </w:p>
    <w:sectPr w:rsidR="00024CFB" w:rsidSect="001A7731">
      <w:footerReference w:type="even" r:id="rId8"/>
      <w:footerReference w:type="default" r:id="rId9"/>
      <w:pgSz w:w="11907" w:h="16840" w:code="9"/>
      <w:pgMar w:top="1134" w:right="851" w:bottom="1134" w:left="1418" w:header="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08" w:rsidRDefault="00880908">
      <w:r>
        <w:separator/>
      </w:r>
    </w:p>
  </w:endnote>
  <w:endnote w:type="continuationSeparator" w:id="0">
    <w:p w:rsidR="00880908" w:rsidRDefault="0088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FB" w:rsidRDefault="00556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4CFB" w:rsidRDefault="00024C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FB" w:rsidRDefault="00556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44E">
      <w:rPr>
        <w:rStyle w:val="PageNumber"/>
        <w:noProof/>
      </w:rPr>
      <w:t>2</w:t>
    </w:r>
    <w:r>
      <w:rPr>
        <w:rStyle w:val="PageNumber"/>
      </w:rPr>
      <w:fldChar w:fldCharType="end"/>
    </w:r>
  </w:p>
  <w:p w:rsidR="00024CFB" w:rsidRDefault="00024C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08" w:rsidRDefault="00880908">
      <w:r>
        <w:separator/>
      </w:r>
    </w:p>
  </w:footnote>
  <w:footnote w:type="continuationSeparator" w:id="0">
    <w:p w:rsidR="00880908" w:rsidRDefault="00880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FB"/>
    <w:rsid w:val="00024CFB"/>
    <w:rsid w:val="000E00A2"/>
    <w:rsid w:val="001518A0"/>
    <w:rsid w:val="00184B44"/>
    <w:rsid w:val="00185EC2"/>
    <w:rsid w:val="0019388D"/>
    <w:rsid w:val="001A1F21"/>
    <w:rsid w:val="001A7731"/>
    <w:rsid w:val="001F6446"/>
    <w:rsid w:val="0032744E"/>
    <w:rsid w:val="00363F9A"/>
    <w:rsid w:val="0041467F"/>
    <w:rsid w:val="00425241"/>
    <w:rsid w:val="00452193"/>
    <w:rsid w:val="00465F0E"/>
    <w:rsid w:val="00496329"/>
    <w:rsid w:val="004D68BB"/>
    <w:rsid w:val="004D7600"/>
    <w:rsid w:val="00514300"/>
    <w:rsid w:val="00556473"/>
    <w:rsid w:val="00570968"/>
    <w:rsid w:val="005E6DE3"/>
    <w:rsid w:val="00665AEA"/>
    <w:rsid w:val="00681555"/>
    <w:rsid w:val="00762A78"/>
    <w:rsid w:val="00794605"/>
    <w:rsid w:val="00880908"/>
    <w:rsid w:val="008B52AD"/>
    <w:rsid w:val="00961726"/>
    <w:rsid w:val="009A10B5"/>
    <w:rsid w:val="009F4C33"/>
    <w:rsid w:val="00B26FB8"/>
    <w:rsid w:val="00C47120"/>
    <w:rsid w:val="00C86829"/>
    <w:rsid w:val="00CF0789"/>
    <w:rsid w:val="00D23321"/>
    <w:rsid w:val="00DB2782"/>
    <w:rsid w:val="00DF0E7C"/>
    <w:rsid w:val="00E400B7"/>
    <w:rsid w:val="00E44A86"/>
    <w:rsid w:val="00E63E31"/>
    <w:rsid w:val="00E65CF3"/>
    <w:rsid w:val="00E95736"/>
    <w:rsid w:val="00F06760"/>
    <w:rsid w:val="00FC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pPr>
      <w:keepNext/>
      <w:autoSpaceDE w:val="0"/>
      <w:autoSpaceDN w:val="0"/>
      <w:jc w:val="center"/>
      <w:outlineLvl w:val="4"/>
    </w:pPr>
    <w:rPr>
      <w:rFonts w:ascii=".VnTime" w:hAnsi=".VnTime" w:cs=".VnTime"/>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MS Mincho" w:hAnsi="Arial" w:cs="Arial"/>
      <w:sz w:val="26"/>
      <w:szCs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8"/>
      <w:szCs w:val="20"/>
    </w:rPr>
  </w:style>
  <w:style w:type="paragraph" w:customStyle="1" w:styleId="CharCharCharCharCharCharChar">
    <w:name w:val="Char Char Char Char Char Char Char"/>
    <w:autoRedefine/>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pPr>
      <w:spacing w:after="120" w:line="480" w:lineRule="auto"/>
    </w:pPr>
    <w:rPr>
      <w:sz w:val="28"/>
      <w:szCs w:val="20"/>
    </w:rPr>
  </w:style>
  <w:style w:type="character" w:customStyle="1" w:styleId="BodyText2Char">
    <w:name w:val="Body Text 2 Char"/>
    <w:link w:val="BodyText2"/>
    <w:rPr>
      <w:sz w:val="28"/>
      <w:lang w:val="en-US" w:eastAsia="en-US" w:bidi="ar-SA"/>
    </w:r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BodyTextIndent3">
    <w:name w:val="Body Text Indent 3"/>
    <w:basedOn w:val="Normal"/>
    <w:link w:val="BodyTextIndent3Char"/>
    <w:rsid w:val="001F6446"/>
    <w:pPr>
      <w:spacing w:after="120"/>
      <w:ind w:left="283"/>
    </w:pPr>
    <w:rPr>
      <w:sz w:val="16"/>
      <w:szCs w:val="16"/>
    </w:rPr>
  </w:style>
  <w:style w:type="character" w:customStyle="1" w:styleId="BodyTextIndent3Char">
    <w:name w:val="Body Text Indent 3 Char"/>
    <w:basedOn w:val="DefaultParagraphFont"/>
    <w:link w:val="BodyTextIndent3"/>
    <w:rsid w:val="001F644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pPr>
      <w:keepNext/>
      <w:autoSpaceDE w:val="0"/>
      <w:autoSpaceDN w:val="0"/>
      <w:jc w:val="center"/>
      <w:outlineLvl w:val="4"/>
    </w:pPr>
    <w:rPr>
      <w:rFonts w:ascii=".VnTime" w:hAnsi=".VnTime" w:cs=".VnTime"/>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MS Mincho" w:hAnsi="Arial" w:cs="Arial"/>
      <w:sz w:val="26"/>
      <w:szCs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8"/>
      <w:szCs w:val="20"/>
    </w:rPr>
  </w:style>
  <w:style w:type="paragraph" w:customStyle="1" w:styleId="CharCharCharCharCharCharChar">
    <w:name w:val="Char Char Char Char Char Char Char"/>
    <w:autoRedefine/>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pPr>
      <w:spacing w:after="120" w:line="480" w:lineRule="auto"/>
    </w:pPr>
    <w:rPr>
      <w:sz w:val="28"/>
      <w:szCs w:val="20"/>
    </w:rPr>
  </w:style>
  <w:style w:type="character" w:customStyle="1" w:styleId="BodyText2Char">
    <w:name w:val="Body Text 2 Char"/>
    <w:link w:val="BodyText2"/>
    <w:rPr>
      <w:sz w:val="28"/>
      <w:lang w:val="en-US" w:eastAsia="en-US" w:bidi="ar-SA"/>
    </w:r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BodyTextIndent3">
    <w:name w:val="Body Text Indent 3"/>
    <w:basedOn w:val="Normal"/>
    <w:link w:val="BodyTextIndent3Char"/>
    <w:rsid w:val="001F6446"/>
    <w:pPr>
      <w:spacing w:after="120"/>
      <w:ind w:left="283"/>
    </w:pPr>
    <w:rPr>
      <w:sz w:val="16"/>
      <w:szCs w:val="16"/>
    </w:rPr>
  </w:style>
  <w:style w:type="character" w:customStyle="1" w:styleId="BodyTextIndent3Char">
    <w:name w:val="Body Text Indent 3 Char"/>
    <w:basedOn w:val="DefaultParagraphFont"/>
    <w:link w:val="BodyTextIndent3"/>
    <w:rsid w:val="001F64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0FF4B-0D35-4DD5-A3B8-6539B1256245}"/>
</file>

<file path=customXml/itemProps2.xml><?xml version="1.0" encoding="utf-8"?>
<ds:datastoreItem xmlns:ds="http://schemas.openxmlformats.org/officeDocument/2006/customXml" ds:itemID="{724E0B75-4C3F-4B6C-A9A1-9E033CBF3DB3}"/>
</file>

<file path=customXml/itemProps3.xml><?xml version="1.0" encoding="utf-8"?>
<ds:datastoreItem xmlns:ds="http://schemas.openxmlformats.org/officeDocument/2006/customXml" ds:itemID="{1EF2500A-8BA6-49AA-B0FA-0A3CCAFA5FA6}"/>
</file>

<file path=customXml/itemProps4.xml><?xml version="1.0" encoding="utf-8"?>
<ds:datastoreItem xmlns:ds="http://schemas.openxmlformats.org/officeDocument/2006/customXml" ds:itemID="{E3A8AB9E-6AAE-4EE1-A347-1293B625067C}"/>
</file>

<file path=docProps/app.xml><?xml version="1.0" encoding="utf-8"?>
<Properties xmlns="http://schemas.openxmlformats.org/officeDocument/2006/extended-properties" xmlns:vt="http://schemas.openxmlformats.org/officeDocument/2006/docPropsVTypes">
  <Template>Normal</Template>
  <TotalTime>9</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bttp1</dc:creator>
  <cp:lastModifiedBy>Lê Thị Hồng Loan</cp:lastModifiedBy>
  <cp:revision>14</cp:revision>
  <cp:lastPrinted>2015-03-02T09:27:00Z</cp:lastPrinted>
  <dcterms:created xsi:type="dcterms:W3CDTF">2017-05-11T09:39:00Z</dcterms:created>
  <dcterms:modified xsi:type="dcterms:W3CDTF">2017-05-18T02:58:00Z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